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34D51" w14:textId="59396561" w:rsidR="00D451DC" w:rsidRDefault="007572FC" w:rsidP="007572FC">
      <w:pPr>
        <w:pStyle w:val="Docketnumber"/>
      </w:pPr>
      <w:bookmarkStart w:id="0" w:name="_GoBack"/>
      <w:bookmarkEnd w:id="0"/>
      <w:r>
        <w:t xml:space="preserve">DOCKET NO. </w:t>
      </w:r>
      <w:r w:rsidR="00447EA4">
        <w:t>48139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75747BC6" w14:textId="77777777" w:rsidTr="009C1919">
        <w:tc>
          <w:tcPr>
            <w:tcW w:w="4608" w:type="dxa"/>
          </w:tcPr>
          <w:p w14:paraId="7E49E242" w14:textId="1D269228" w:rsidR="007572FC" w:rsidRDefault="00447EA4" w:rsidP="00393011">
            <w:pPr>
              <w:pStyle w:val="Docketstyle"/>
            </w:pPr>
            <w:r w:rsidRPr="001F5A54">
              <w:rPr>
                <w:rFonts w:eastAsia="SimSun"/>
                <w:caps/>
              </w:rPr>
              <w:t>JOINT APPLICATION OF NRG ENERGY, INC. AND GIP III ZEPHYR ACQUISITION PARTNERS, L.P. UNDER § 39.158 OF THE PUBLIC UTILITY REGULATORY ACT</w:t>
            </w:r>
          </w:p>
        </w:tc>
        <w:tc>
          <w:tcPr>
            <w:tcW w:w="360" w:type="dxa"/>
          </w:tcPr>
          <w:p w14:paraId="7379F9E8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297523E8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DEF410B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AB9A34C" w14:textId="77777777" w:rsidR="0051631F" w:rsidRDefault="0051631F" w:rsidP="001E360C">
            <w:pPr>
              <w:pStyle w:val="Docketstyle"/>
            </w:pPr>
            <w:r>
              <w:t>§</w:t>
            </w:r>
          </w:p>
          <w:p w14:paraId="2E9EFA98" w14:textId="0EBA5A01" w:rsidR="00447EA4" w:rsidRDefault="00447EA4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24006A85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3F0326DD" w14:textId="77777777" w:rsidR="001E360C" w:rsidRDefault="001E360C" w:rsidP="001E360C">
            <w:pPr>
              <w:pStyle w:val="DocketstylePUC"/>
            </w:pPr>
          </w:p>
          <w:p w14:paraId="6DA62F73" w14:textId="77777777" w:rsidR="001E360C" w:rsidRDefault="001E360C" w:rsidP="001E360C">
            <w:pPr>
              <w:pStyle w:val="DocketstylePUC"/>
            </w:pPr>
            <w:r>
              <w:t>OF TEXAS</w:t>
            </w:r>
          </w:p>
          <w:p w14:paraId="76F6CF1D" w14:textId="1C724675" w:rsidR="004E117B" w:rsidRPr="004E117B" w:rsidRDefault="004E117B" w:rsidP="001E360C">
            <w:pPr>
              <w:pStyle w:val="DocketstylePUC"/>
              <w:rPr>
                <w:color w:val="FF0000"/>
              </w:rPr>
            </w:pPr>
          </w:p>
        </w:tc>
      </w:tr>
    </w:tbl>
    <w:p w14:paraId="10BD5F08" w14:textId="108AE1B6" w:rsidR="007572FC" w:rsidRDefault="0051631F" w:rsidP="00C54659">
      <w:pPr>
        <w:pStyle w:val="Titleoforder"/>
      </w:pPr>
      <w:r>
        <w:t>ORDER</w:t>
      </w:r>
    </w:p>
    <w:p w14:paraId="4BF3725F" w14:textId="50E29886" w:rsidR="0057039A" w:rsidRPr="0057039A" w:rsidRDefault="0057039A" w:rsidP="0057039A">
      <w:pPr>
        <w:pStyle w:val="BodyText"/>
      </w:pPr>
      <w:r w:rsidRPr="0057039A">
        <w:t xml:space="preserve">This Order addresses the </w:t>
      </w:r>
      <w:r w:rsidR="00447EA4">
        <w:t xml:space="preserve">joint </w:t>
      </w:r>
      <w:r w:rsidRPr="0057039A">
        <w:t xml:space="preserve">application of </w:t>
      </w:r>
      <w:r w:rsidR="00C70148">
        <w:t>NRG Energy, Inc.</w:t>
      </w:r>
      <w:r w:rsidR="003B7BE7">
        <w:t xml:space="preserve"> </w:t>
      </w:r>
      <w:r w:rsidR="00447EA4">
        <w:t>and GIP III Zephyr Acquisition Partners, L.P.</w:t>
      </w:r>
      <w:r w:rsidR="003B7BE7">
        <w:t xml:space="preserve"> (GIP III)</w:t>
      </w:r>
      <w:r w:rsidR="00447EA4">
        <w:t xml:space="preserve"> (</w:t>
      </w:r>
      <w:r w:rsidR="003B7BE7">
        <w:t xml:space="preserve">collectively, </w:t>
      </w:r>
      <w:r w:rsidR="00447EA4">
        <w:t xml:space="preserve">applicants) </w:t>
      </w:r>
      <w:r w:rsidRPr="0057039A">
        <w:t xml:space="preserve">for approval </w:t>
      </w:r>
      <w:r w:rsidR="00D21FB9">
        <w:t xml:space="preserve">of </w:t>
      </w:r>
      <w:r w:rsidR="003B7BE7">
        <w:t>GIP III</w:t>
      </w:r>
      <w:r w:rsidR="00D21FB9">
        <w:t xml:space="preserve">’s acquisition of certain NRG </w:t>
      </w:r>
      <w:r w:rsidR="00C70148">
        <w:t xml:space="preserve">Energy </w:t>
      </w:r>
      <w:r w:rsidR="00D21FB9">
        <w:t>assets</w:t>
      </w:r>
      <w:r w:rsidR="00C70148">
        <w:t xml:space="preserve">.  </w:t>
      </w:r>
      <w:r w:rsidR="00447EA4">
        <w:t>Commission Staff recommends</w:t>
      </w:r>
      <w:r w:rsidRPr="0057039A">
        <w:t xml:space="preserve"> approval of the application.  The </w:t>
      </w:r>
      <w:r w:rsidR="00D86341">
        <w:t>Commission approves the application</w:t>
      </w:r>
      <w:r w:rsidRPr="0057039A">
        <w:t>.</w:t>
      </w:r>
    </w:p>
    <w:p w14:paraId="557796C1" w14:textId="77777777" w:rsidR="008D1724" w:rsidRDefault="0057039A" w:rsidP="0057039A">
      <w:pPr>
        <w:pStyle w:val="BodyText"/>
      </w:pPr>
      <w:r w:rsidRPr="0057039A">
        <w:t>The Commission adopts the following findings of fact and conclusions of law</w:t>
      </w:r>
      <w:r w:rsidR="008D1724">
        <w:t>.</w:t>
      </w:r>
    </w:p>
    <w:p w14:paraId="67DF47B2" w14:textId="77777777" w:rsidR="008D1724" w:rsidRDefault="00EE5DDA" w:rsidP="008D1724">
      <w:pPr>
        <w:pStyle w:val="Heading1"/>
      </w:pPr>
      <w:r>
        <w:t>Findings of Fact</w:t>
      </w:r>
    </w:p>
    <w:p w14:paraId="1008E8F5" w14:textId="48CB1BC9" w:rsidR="001B435D" w:rsidRPr="001B435D" w:rsidRDefault="001B435D" w:rsidP="001B435D">
      <w:pPr>
        <w:pStyle w:val="BodyText"/>
        <w:ind w:firstLine="0"/>
        <w:rPr>
          <w:b/>
          <w:i/>
          <w:u w:val="single"/>
        </w:rPr>
      </w:pPr>
      <w:r w:rsidRPr="001B435D">
        <w:rPr>
          <w:b/>
          <w:i/>
          <w:u w:val="single"/>
        </w:rPr>
        <w:t>Procedural History, Description, and Background</w:t>
      </w:r>
    </w:p>
    <w:p w14:paraId="07EC2ECA" w14:textId="66100037" w:rsidR="003B7BE7" w:rsidRDefault="00393011" w:rsidP="00447C81">
      <w:pPr>
        <w:pStyle w:val="FOFNumbered"/>
      </w:pPr>
      <w:r>
        <w:t xml:space="preserve">On </w:t>
      </w:r>
      <w:r w:rsidR="00447EA4">
        <w:t>March 5, 2018</w:t>
      </w:r>
      <w:r w:rsidRPr="007B26EE">
        <w:t xml:space="preserve">, </w:t>
      </w:r>
      <w:r w:rsidR="00447EA4">
        <w:t>NRG</w:t>
      </w:r>
      <w:r w:rsidR="00C70148">
        <w:t xml:space="preserve"> Energy</w:t>
      </w:r>
      <w:r w:rsidR="00447EA4">
        <w:t xml:space="preserve"> and GIP III filed a joint </w:t>
      </w:r>
      <w:r w:rsidRPr="007B26EE">
        <w:t xml:space="preserve">application for approval of </w:t>
      </w:r>
      <w:r w:rsidR="003B7BE7">
        <w:t>GIP III</w:t>
      </w:r>
      <w:r w:rsidR="001F2570">
        <w:t xml:space="preserve">’s acquisition of </w:t>
      </w:r>
      <w:r w:rsidR="00903CD0">
        <w:t>Wil</w:t>
      </w:r>
      <w:r w:rsidR="00C70148">
        <w:t>dorado Wind LLC</w:t>
      </w:r>
      <w:r w:rsidR="00903CD0">
        <w:t xml:space="preserve">, a power generation company located in Texas and in the Southwest Power Pool (SPP).  GIP III will also acquire </w:t>
      </w:r>
      <w:r w:rsidR="001F2570">
        <w:t xml:space="preserve">all </w:t>
      </w:r>
      <w:r w:rsidR="00447EA4">
        <w:t>membership inte</w:t>
      </w:r>
      <w:r w:rsidR="003B7BE7">
        <w:t>rests of Zephyr</w:t>
      </w:r>
      <w:r w:rsidR="00D21FB9">
        <w:t xml:space="preserve"> Renewables LLC</w:t>
      </w:r>
      <w:r w:rsidR="001F2570">
        <w:t>, a subsidiary of NRG</w:t>
      </w:r>
      <w:r w:rsidR="00C70148">
        <w:t xml:space="preserve"> Energy</w:t>
      </w:r>
      <w:r w:rsidR="003B7BE7">
        <w:t xml:space="preserve">.  </w:t>
      </w:r>
    </w:p>
    <w:p w14:paraId="6AFE1BC6" w14:textId="2691F0CB" w:rsidR="001F2570" w:rsidRPr="0057039A" w:rsidRDefault="001F2570" w:rsidP="001F2570">
      <w:pPr>
        <w:pStyle w:val="FOFNumbered"/>
      </w:pPr>
      <w:r>
        <w:t>GIP III</w:t>
      </w:r>
      <w:r w:rsidR="00FB2198">
        <w:t xml:space="preserve">, formed as a vehicle to facilitate the transaction, </w:t>
      </w:r>
      <w:r>
        <w:t>is a subsidiary of</w:t>
      </w:r>
      <w:r w:rsidR="00C70148">
        <w:t xml:space="preserve"> Global Infrastructure Partners</w:t>
      </w:r>
      <w:r w:rsidR="00FB2198">
        <w:t xml:space="preserve">.  </w:t>
      </w:r>
      <w:r w:rsidR="00C70148">
        <w:t xml:space="preserve">Global Infrastructure Partners </w:t>
      </w:r>
      <w:r>
        <w:t xml:space="preserve">owns generation in </w:t>
      </w:r>
      <w:r w:rsidR="00FB2198">
        <w:t xml:space="preserve">the </w:t>
      </w:r>
      <w:r>
        <w:t>SPP via its subsidiary Competitive Power Ventures</w:t>
      </w:r>
      <w:r w:rsidR="00FB2198">
        <w:t>, but has no ownership or control interest in generation assets in Texas</w:t>
      </w:r>
      <w:r>
        <w:t>.</w:t>
      </w:r>
    </w:p>
    <w:p w14:paraId="42A48553" w14:textId="29A35B2C" w:rsidR="001F2570" w:rsidRPr="0057039A" w:rsidRDefault="001F2570" w:rsidP="00447C81">
      <w:pPr>
        <w:pStyle w:val="FOFNumbered"/>
      </w:pPr>
      <w:r>
        <w:t>As a result of the transaction, G</w:t>
      </w:r>
      <w:r w:rsidR="00C70148">
        <w:t>IP III will acquire all of NRG Energy’s</w:t>
      </w:r>
      <w:r>
        <w:t xml:space="preserve"> membership interests</w:t>
      </w:r>
      <w:r w:rsidR="00C70148">
        <w:t xml:space="preserve"> in NRG Yield, Inc. and NRG Renew LLC</w:t>
      </w:r>
      <w:r>
        <w:t xml:space="preserve">, and thereby, each entities’ interests in generation facilities in </w:t>
      </w:r>
      <w:r w:rsidR="00903CD0">
        <w:t xml:space="preserve">the </w:t>
      </w:r>
      <w:r>
        <w:t>SPP.</w:t>
      </w:r>
    </w:p>
    <w:p w14:paraId="38D7A7D1" w14:textId="2DB0D462" w:rsidR="00B613B2" w:rsidRDefault="00543A7E" w:rsidP="00447C81">
      <w:pPr>
        <w:pStyle w:val="FOFNumbered"/>
      </w:pPr>
      <w:r>
        <w:t>In Order No. 1 issued o</w:t>
      </w:r>
      <w:r w:rsidR="00B613B2">
        <w:t xml:space="preserve">n March 12, 2018, the </w:t>
      </w:r>
      <w:r>
        <w:t xml:space="preserve">administrative law judge (ALJ) directed Commission Staff to file comments on the </w:t>
      </w:r>
      <w:r w:rsidR="00B613B2">
        <w:t>sufficiency of the application and notice.</w:t>
      </w:r>
    </w:p>
    <w:p w14:paraId="444DC29C" w14:textId="1F7EFFE0" w:rsidR="00B613B2" w:rsidRDefault="00B613B2" w:rsidP="00447C81">
      <w:pPr>
        <w:pStyle w:val="FOFNumbered"/>
      </w:pPr>
      <w:r>
        <w:lastRenderedPageBreak/>
        <w:t xml:space="preserve">On March 29, 2018, Commission Staff recommended that the </w:t>
      </w:r>
      <w:r w:rsidR="00543A7E">
        <w:t xml:space="preserve">ALJ find the </w:t>
      </w:r>
      <w:r>
        <w:t>application and notice sufficient and proposed a procedural schedule.</w:t>
      </w:r>
    </w:p>
    <w:p w14:paraId="762FB1A9" w14:textId="4F0F7C52" w:rsidR="00B613B2" w:rsidRDefault="00543A7E" w:rsidP="00447C81">
      <w:pPr>
        <w:pStyle w:val="FOFNumbered"/>
      </w:pPr>
      <w:r>
        <w:t>In Order No. 2 issued o</w:t>
      </w:r>
      <w:r w:rsidR="00B613B2">
        <w:t xml:space="preserve">n April 6, 2018, the </w:t>
      </w:r>
      <w:r>
        <w:t>ALJ deemed</w:t>
      </w:r>
      <w:r w:rsidR="00B613B2">
        <w:t xml:space="preserve"> the application and notice sufficient and establish</w:t>
      </w:r>
      <w:r>
        <w:t>ed</w:t>
      </w:r>
      <w:r w:rsidR="00B613B2">
        <w:t xml:space="preserve"> a procedural schedule.</w:t>
      </w:r>
    </w:p>
    <w:p w14:paraId="1EBF9C2E" w14:textId="73454DF3" w:rsidR="00B613B2" w:rsidRDefault="00B613B2" w:rsidP="00447C81">
      <w:pPr>
        <w:pStyle w:val="FOFNumbered"/>
      </w:pPr>
      <w:r>
        <w:t xml:space="preserve">On April 17, 2018, Commission Staff recommended </w:t>
      </w:r>
      <w:r w:rsidR="00543A7E">
        <w:t xml:space="preserve">approval of </w:t>
      </w:r>
      <w:r>
        <w:t>the application.</w:t>
      </w:r>
    </w:p>
    <w:p w14:paraId="58C73274" w14:textId="426CB211" w:rsidR="00B613B2" w:rsidRDefault="00B613B2" w:rsidP="00447C81">
      <w:pPr>
        <w:pStyle w:val="FOFNumbered"/>
      </w:pPr>
      <w:r>
        <w:t>On May 4, 2018, the applicants filed a joint motion to admit evidence.</w:t>
      </w:r>
    </w:p>
    <w:p w14:paraId="04F257D7" w14:textId="56F4D883" w:rsidR="00B613B2" w:rsidRDefault="00543A7E" w:rsidP="00447C81">
      <w:pPr>
        <w:pStyle w:val="FOFNumbered"/>
      </w:pPr>
      <w:r>
        <w:t>In Order No. 3 issued o</w:t>
      </w:r>
      <w:r w:rsidR="00B613B2">
        <w:t xml:space="preserve">n May </w:t>
      </w:r>
      <w:r w:rsidR="004A4B22">
        <w:t>9</w:t>
      </w:r>
      <w:r w:rsidR="00B613B2">
        <w:t xml:space="preserve">, 2018, the </w:t>
      </w:r>
      <w:r w:rsidR="00903CD0">
        <w:t>ALJ</w:t>
      </w:r>
      <w:r w:rsidR="00B613B2">
        <w:t xml:space="preserve"> </w:t>
      </w:r>
      <w:r w:rsidR="004A4B22">
        <w:t>a</w:t>
      </w:r>
      <w:r w:rsidR="00B613B2">
        <w:t>dmit</w:t>
      </w:r>
      <w:r w:rsidR="004A4B22">
        <w:t>ted</w:t>
      </w:r>
      <w:r w:rsidR="00B613B2">
        <w:t xml:space="preserve"> evidence into the record.</w:t>
      </w:r>
    </w:p>
    <w:p w14:paraId="41274EA6" w14:textId="1C010881" w:rsidR="001B435D" w:rsidRPr="0057039A" w:rsidRDefault="001B435D" w:rsidP="00447C81">
      <w:pPr>
        <w:pStyle w:val="FOFNumbered"/>
        <w:numPr>
          <w:ilvl w:val="0"/>
          <w:numId w:val="0"/>
        </w:numPr>
      </w:pPr>
      <w:r w:rsidRPr="001B435D">
        <w:rPr>
          <w:b/>
          <w:i/>
          <w:u w:val="single"/>
        </w:rPr>
        <w:t>Notice</w:t>
      </w:r>
    </w:p>
    <w:p w14:paraId="592985AD" w14:textId="5D28B55F" w:rsidR="0057039A" w:rsidRPr="0057039A" w:rsidRDefault="0057039A" w:rsidP="00447C81">
      <w:pPr>
        <w:pStyle w:val="FOFNumbered"/>
      </w:pPr>
      <w:r w:rsidRPr="0057039A">
        <w:t xml:space="preserve">On </w:t>
      </w:r>
      <w:r w:rsidR="00B613B2">
        <w:t>March 5, 2018</w:t>
      </w:r>
      <w:r w:rsidRPr="0057039A">
        <w:t xml:space="preserve">, contemporaneously with the </w:t>
      </w:r>
      <w:r w:rsidR="00B70C51">
        <w:t xml:space="preserve">filing of the </w:t>
      </w:r>
      <w:r w:rsidRPr="0057039A">
        <w:t xml:space="preserve">application, </w:t>
      </w:r>
      <w:r w:rsidR="00B613B2">
        <w:t>the applicants</w:t>
      </w:r>
      <w:r w:rsidRPr="0057039A">
        <w:t xml:space="preserve"> provided notice of the application to </w:t>
      </w:r>
      <w:r w:rsidR="00B70C51">
        <w:t>Commission Staff</w:t>
      </w:r>
      <w:r w:rsidRPr="0057039A">
        <w:t>.</w:t>
      </w:r>
    </w:p>
    <w:p w14:paraId="66EC0055" w14:textId="710434E0" w:rsidR="00B016C1" w:rsidRDefault="004A4B22" w:rsidP="00447C81">
      <w:pPr>
        <w:pStyle w:val="FOFNumbered"/>
      </w:pPr>
      <w:r>
        <w:t>N</w:t>
      </w:r>
      <w:r w:rsidR="002B0614">
        <w:t xml:space="preserve">otice of the application </w:t>
      </w:r>
      <w:r>
        <w:t xml:space="preserve">appeared </w:t>
      </w:r>
      <w:r w:rsidR="002B0614">
        <w:t xml:space="preserve">in the </w:t>
      </w:r>
      <w:r>
        <w:t xml:space="preserve">March 23, 2018 issue of the </w:t>
      </w:r>
      <w:r w:rsidR="002B0614" w:rsidRPr="002B0614">
        <w:rPr>
          <w:i/>
        </w:rPr>
        <w:t>Texas Register</w:t>
      </w:r>
      <w:r w:rsidR="002B0614">
        <w:t>.</w:t>
      </w:r>
    </w:p>
    <w:p w14:paraId="6EAFFA4D" w14:textId="70225A13" w:rsidR="001B435D" w:rsidRPr="001B435D" w:rsidRDefault="001B435D" w:rsidP="00447C81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1B435D">
        <w:rPr>
          <w:b/>
          <w:i/>
          <w:u w:val="single"/>
        </w:rPr>
        <w:t>Informal Disposition</w:t>
      </w:r>
    </w:p>
    <w:p w14:paraId="20201F70" w14:textId="77777777" w:rsidR="0057039A" w:rsidRPr="0057039A" w:rsidRDefault="0057039A" w:rsidP="00447C81">
      <w:pPr>
        <w:pStyle w:val="FOFNumbered"/>
      </w:pPr>
      <w:r w:rsidRPr="0057039A">
        <w:t>More than 15 days have passed since completion of notice provided in this docket.</w:t>
      </w:r>
    </w:p>
    <w:p w14:paraId="7C698772" w14:textId="39B83E3A" w:rsidR="00447C81" w:rsidRPr="00482EF0" w:rsidRDefault="004A4B22" w:rsidP="00482EF0">
      <w:pPr>
        <w:pStyle w:val="FOFNumbered"/>
      </w:pPr>
      <w:r>
        <w:t xml:space="preserve">No parties filed </w:t>
      </w:r>
      <w:r w:rsidR="0057039A" w:rsidRPr="0057039A">
        <w:t>protests, motions to intervene, or requests for hearing.</w:t>
      </w:r>
    </w:p>
    <w:p w14:paraId="05E3B4A4" w14:textId="61A71193" w:rsidR="001B435D" w:rsidRPr="00F348EE" w:rsidRDefault="001B435D" w:rsidP="00447C81">
      <w:pPr>
        <w:pStyle w:val="FOFNumbered"/>
        <w:numPr>
          <w:ilvl w:val="0"/>
          <w:numId w:val="0"/>
        </w:numPr>
      </w:pPr>
      <w:r w:rsidRPr="001B435D">
        <w:rPr>
          <w:b/>
          <w:i/>
          <w:u w:val="single"/>
        </w:rPr>
        <w:t>Installed Generation Capacity</w:t>
      </w:r>
    </w:p>
    <w:p w14:paraId="2F90345B" w14:textId="64CFF1A5" w:rsidR="00F348EE" w:rsidRPr="00F348EE" w:rsidRDefault="008A36ED" w:rsidP="00447C81">
      <w:pPr>
        <w:pStyle w:val="FOFNumbered"/>
        <w:rPr>
          <w:rFonts w:eastAsiaTheme="minorEastAsia"/>
        </w:rPr>
      </w:pPr>
      <w:r>
        <w:t>GIP III</w:t>
      </w:r>
      <w:r w:rsidR="00F348EE">
        <w:t xml:space="preserve"> currently owns, either directly or indirectly through affiliates or subsidiaries, </w:t>
      </w:r>
      <w:r w:rsidR="00395709">
        <w:t xml:space="preserve">installed generation </w:t>
      </w:r>
      <w:r w:rsidR="0010060B">
        <w:t xml:space="preserve">capacity </w:t>
      </w:r>
      <w:r w:rsidR="00F348EE">
        <w:t>or</w:t>
      </w:r>
      <w:r w:rsidR="00395709">
        <w:t xml:space="preserve"> generation capacity</w:t>
      </w:r>
      <w:r w:rsidR="00F348EE">
        <w:t xml:space="preserve"> </w:t>
      </w:r>
      <w:r w:rsidR="0010060B">
        <w:t>planned for installation</w:t>
      </w:r>
      <w:r w:rsidR="00677FCD">
        <w:t xml:space="preserve"> </w:t>
      </w:r>
      <w:r w:rsidR="00F348EE">
        <w:t xml:space="preserve">within the next twelve months in </w:t>
      </w:r>
      <w:r w:rsidR="00B70C51">
        <w:t xml:space="preserve">the </w:t>
      </w:r>
      <w:r w:rsidR="00C74C28">
        <w:t>SPP</w:t>
      </w:r>
      <w:r w:rsidR="00F348EE">
        <w:t xml:space="preserve"> totaling approximately </w:t>
      </w:r>
      <w:r w:rsidR="00BC675B">
        <w:t>871.4</w:t>
      </w:r>
      <w:r w:rsidR="00F348EE">
        <w:t xml:space="preserve"> MW</w:t>
      </w:r>
      <w:r w:rsidR="00C74C28">
        <w:t xml:space="preserve"> of wind generation</w:t>
      </w:r>
      <w:r w:rsidR="00BC675B">
        <w:t>.</w:t>
      </w:r>
    </w:p>
    <w:p w14:paraId="566BD8D0" w14:textId="187623B5" w:rsidR="0057039A" w:rsidRPr="0057039A" w:rsidRDefault="00DB3A0D" w:rsidP="00447C81">
      <w:pPr>
        <w:pStyle w:val="FOFNumbered"/>
        <w:rPr>
          <w:rFonts w:eastAsiaTheme="minorEastAsia"/>
        </w:rPr>
      </w:pPr>
      <w:r>
        <w:t xml:space="preserve">Zephyr </w:t>
      </w:r>
      <w:r w:rsidR="00C70148">
        <w:t xml:space="preserve">Renewables </w:t>
      </w:r>
      <w:r>
        <w:t>currently owns</w:t>
      </w:r>
      <w:r w:rsidR="00903CD0">
        <w:t xml:space="preserve">, </w:t>
      </w:r>
      <w:r w:rsidR="00F348EE">
        <w:t>through affiliates</w:t>
      </w:r>
      <w:r w:rsidR="00903CD0">
        <w:t xml:space="preserve">, </w:t>
      </w:r>
      <w:r>
        <w:t xml:space="preserve">Wildorado Wind </w:t>
      </w:r>
      <w:r w:rsidR="004A4B22">
        <w:t xml:space="preserve">with a capacity </w:t>
      </w:r>
      <w:r>
        <w:t xml:space="preserve">totaling </w:t>
      </w:r>
      <w:r w:rsidR="00BC675B">
        <w:t>161 MW.</w:t>
      </w:r>
    </w:p>
    <w:p w14:paraId="67712565" w14:textId="48EE813A" w:rsidR="00903CD0" w:rsidRDefault="00C474CF" w:rsidP="00447C81">
      <w:pPr>
        <w:pStyle w:val="FOFNumbered"/>
      </w:pPr>
      <w:r w:rsidRPr="00C474CF">
        <w:t>GIP III together with its affiliates will own interests in generation assets in adjac</w:t>
      </w:r>
      <w:r w:rsidR="00C70148">
        <w:t>ent power regions, including</w:t>
      </w:r>
      <w:r w:rsidRPr="00C474CF">
        <w:t xml:space="preserve"> </w:t>
      </w:r>
      <w:r w:rsidR="00BC675B">
        <w:t>Pennsylvania, Jersey, Maryland (</w:t>
      </w:r>
      <w:r w:rsidRPr="00C474CF">
        <w:t>PJM</w:t>
      </w:r>
      <w:r w:rsidR="00BC675B">
        <w:t>) Interconnection;</w:t>
      </w:r>
      <w:r w:rsidRPr="00C474CF">
        <w:t xml:space="preserve"> Midcontinent </w:t>
      </w:r>
      <w:r w:rsidR="00BC675B">
        <w:t>Independent System Operator (</w:t>
      </w:r>
      <w:r w:rsidRPr="00C474CF">
        <w:t>ISO</w:t>
      </w:r>
      <w:r w:rsidR="00BC675B">
        <w:t>); New York ISO;</w:t>
      </w:r>
      <w:r w:rsidRPr="00C474CF">
        <w:t xml:space="preserve"> and ISO New England</w:t>
      </w:r>
      <w:r>
        <w:t xml:space="preserve"> </w:t>
      </w:r>
      <w:r w:rsidR="00A27DBD">
        <w:t xml:space="preserve">(collectively the Eastern Power Regions) </w:t>
      </w:r>
      <w:r w:rsidRPr="00C474CF">
        <w:t xml:space="preserve">and </w:t>
      </w:r>
      <w:r>
        <w:t>the Electric Reliability Council of Texas (ERCOT)</w:t>
      </w:r>
      <w:r w:rsidRPr="00C474CF">
        <w:t xml:space="preserve">. </w:t>
      </w:r>
      <w:r>
        <w:t xml:space="preserve"> </w:t>
      </w:r>
    </w:p>
    <w:p w14:paraId="5AD094C7" w14:textId="77777777" w:rsidR="00C70148" w:rsidRDefault="00C70148" w:rsidP="00447C81">
      <w:pPr>
        <w:pStyle w:val="FOFNumbered"/>
      </w:pPr>
      <w:r>
        <w:t>T</w:t>
      </w:r>
      <w:r w:rsidR="00C474CF" w:rsidRPr="00C474CF">
        <w:t xml:space="preserve">he combined installed generation capacity that is capable of </w:t>
      </w:r>
      <w:r w:rsidR="004A4B22">
        <w:t>delivery</w:t>
      </w:r>
      <w:r w:rsidR="00C474CF" w:rsidRPr="00C474CF">
        <w:t xml:space="preserve"> into </w:t>
      </w:r>
      <w:r w:rsidR="004A4B22">
        <w:t xml:space="preserve">the </w:t>
      </w:r>
      <w:r w:rsidR="00C474CF" w:rsidRPr="00C474CF">
        <w:t>SPP by way of imports from the Eastern Power Regions and from the maximum capa</w:t>
      </w:r>
      <w:r>
        <w:t>city of the DC ties from ERCOT</w:t>
      </w:r>
      <w:r w:rsidR="00C474CF" w:rsidRPr="00C474CF">
        <w:t xml:space="preserve"> </w:t>
      </w:r>
      <w:r>
        <w:t>total</w:t>
      </w:r>
      <w:r w:rsidR="00245343">
        <w:t xml:space="preserve"> 4,053.6 MW.  </w:t>
      </w:r>
    </w:p>
    <w:p w14:paraId="14C439D5" w14:textId="77777777" w:rsidR="00C70148" w:rsidRDefault="00C474CF" w:rsidP="00447C81">
      <w:pPr>
        <w:pStyle w:val="FOFNumbered"/>
      </w:pPr>
      <w:r w:rsidRPr="00C474CF">
        <w:lastRenderedPageBreak/>
        <w:t>SPP has determined that the maximum total summer import capability for that power</w:t>
      </w:r>
      <w:r>
        <w:t xml:space="preserve"> region is limited to 3,782 MW.</w:t>
      </w:r>
      <w:r w:rsidRPr="00C474CF">
        <w:t xml:space="preserve"> </w:t>
      </w:r>
    </w:p>
    <w:p w14:paraId="3B90EA22" w14:textId="042AC60A" w:rsidR="00C474CF" w:rsidRDefault="00C70148" w:rsidP="00447C81">
      <w:pPr>
        <w:pStyle w:val="FOFNumbered"/>
      </w:pPr>
      <w:r>
        <w:t>W</w:t>
      </w:r>
      <w:r w:rsidR="00C474CF" w:rsidRPr="00C474CF">
        <w:t xml:space="preserve">ith the addition of the 3,782 MW of import capability, the total installed capacity located in SPP, or capable of delivering electricity into SPP, is </w:t>
      </w:r>
      <w:r w:rsidR="00560101">
        <w:t>8</w:t>
      </w:r>
      <w:r w:rsidR="008D6EBD">
        <w:t>7,727</w:t>
      </w:r>
      <w:r w:rsidR="00C474CF" w:rsidRPr="00C474CF">
        <w:t xml:space="preserve"> MW.</w:t>
      </w:r>
    </w:p>
    <w:p w14:paraId="7757C000" w14:textId="7F4B54B3" w:rsidR="00447C81" w:rsidRDefault="00C70148" w:rsidP="00447C81">
      <w:pPr>
        <w:pStyle w:val="FOFNumbered"/>
      </w:pPr>
      <w:r>
        <w:t>After the t</w:t>
      </w:r>
      <w:r w:rsidR="00447C81" w:rsidRPr="00447C81">
        <w:t>ransaction, the combined potential direct and indirect generation ownership of GIP III, together with its affiliates, would equal</w:t>
      </w:r>
      <w:r w:rsidR="00447C81">
        <w:t xml:space="preserve"> </w:t>
      </w:r>
      <w:r w:rsidR="00447C81" w:rsidRPr="00447C81">
        <w:t xml:space="preserve">approximately </w:t>
      </w:r>
      <w:r w:rsidR="00560101">
        <w:t>4,814.4</w:t>
      </w:r>
      <w:r w:rsidR="00447C81" w:rsidRPr="00447C81">
        <w:t xml:space="preserve"> MW, or approximately </w:t>
      </w:r>
      <w:r w:rsidR="00560101">
        <w:t>5.48</w:t>
      </w:r>
      <w:r w:rsidR="00447C81" w:rsidRPr="00447C81">
        <w:t>% of the installed generation capacity in SPP or capable of delivery into</w:t>
      </w:r>
      <w:r w:rsidR="00447C81">
        <w:t xml:space="preserve"> SPP.</w:t>
      </w:r>
    </w:p>
    <w:p w14:paraId="4172E26F" w14:textId="397B4449" w:rsidR="00C474CF" w:rsidRDefault="00447C81" w:rsidP="00447C81">
      <w:pPr>
        <w:pStyle w:val="FOFNumbered"/>
        <w:rPr>
          <w:szCs w:val="24"/>
        </w:rPr>
      </w:pPr>
      <w:r>
        <w:rPr>
          <w:szCs w:val="24"/>
        </w:rPr>
        <w:t>After the t</w:t>
      </w:r>
      <w:r w:rsidRPr="00447C81">
        <w:rPr>
          <w:szCs w:val="24"/>
        </w:rPr>
        <w:t xml:space="preserve">ransaction, the total electricity directly or indirectly owned and offered for sale in SPP by GIP III and its affiliates will </w:t>
      </w:r>
      <w:r>
        <w:rPr>
          <w:szCs w:val="24"/>
        </w:rPr>
        <w:t>not exceed 20</w:t>
      </w:r>
      <w:r w:rsidR="00BC675B">
        <w:rPr>
          <w:szCs w:val="24"/>
        </w:rPr>
        <w:t>%</w:t>
      </w:r>
      <w:r>
        <w:rPr>
          <w:szCs w:val="24"/>
        </w:rPr>
        <w:t xml:space="preserve"> </w:t>
      </w:r>
      <w:r w:rsidRPr="00447C81">
        <w:rPr>
          <w:szCs w:val="24"/>
        </w:rPr>
        <w:t>of the total installed generation capacity in SPP.</w:t>
      </w:r>
    </w:p>
    <w:p w14:paraId="552A0A3F" w14:textId="06A6C64B" w:rsidR="007E0122" w:rsidRPr="00447C81" w:rsidRDefault="007E0122" w:rsidP="00447C81">
      <w:pPr>
        <w:pStyle w:val="FOFNumbered"/>
        <w:rPr>
          <w:szCs w:val="24"/>
        </w:rPr>
      </w:pPr>
      <w:r>
        <w:rPr>
          <w:szCs w:val="24"/>
        </w:rPr>
        <w:t>It is appropriate to use nameplate capacity to calculate the share of installed generation capacity because no data was provided to support actual capacity as provided in 16 TAC § 25.91(f).</w:t>
      </w:r>
    </w:p>
    <w:p w14:paraId="61C05A7A" w14:textId="77777777" w:rsidR="00EE5DDA" w:rsidRDefault="00EE5DDA" w:rsidP="00EE5DDA">
      <w:pPr>
        <w:pStyle w:val="Heading1"/>
      </w:pPr>
      <w:r>
        <w:t>Conclusions of Law</w:t>
      </w:r>
    </w:p>
    <w:p w14:paraId="2B5BD79C" w14:textId="02301E74" w:rsidR="0057039A" w:rsidRPr="0057039A" w:rsidRDefault="0057039A" w:rsidP="0057039A">
      <w:pPr>
        <w:pStyle w:val="COLNumbered"/>
        <w:rPr>
          <w:rFonts w:eastAsiaTheme="minorEastAsia"/>
        </w:rPr>
      </w:pPr>
      <w:r w:rsidRPr="0057039A">
        <w:t>The Commission has jurisdiction over the proposed transaction under PURA §§ 39.154 and 39.158</w:t>
      </w:r>
      <w:r w:rsidRPr="0057039A">
        <w:rPr>
          <w:rFonts w:eastAsiaTheme="minorEastAsia"/>
        </w:rPr>
        <w:t>.</w:t>
      </w:r>
    </w:p>
    <w:p w14:paraId="7D6B349D" w14:textId="7020F8B2" w:rsidR="0057039A" w:rsidRPr="0057039A" w:rsidRDefault="0057039A" w:rsidP="0057039A">
      <w:pPr>
        <w:pStyle w:val="COLNumbered"/>
        <w:rPr>
          <w:rFonts w:eastAsiaTheme="minorEastAsia"/>
        </w:rPr>
      </w:pPr>
      <w:r w:rsidRPr="0057039A">
        <w:t>Notice of the application was provided in compliance with 16 Texas Administrative Code </w:t>
      </w:r>
      <w:r w:rsidR="009D567A" w:rsidRPr="0057039A">
        <w:t>(TAC)</w:t>
      </w:r>
      <w:r w:rsidR="009D567A">
        <w:t xml:space="preserve"> </w:t>
      </w:r>
      <w:r w:rsidRPr="0057039A">
        <w:t>§§ 22.54(a) and 22.55</w:t>
      </w:r>
      <w:r w:rsidRPr="0057039A">
        <w:rPr>
          <w:rFonts w:eastAsiaTheme="minorEastAsia"/>
        </w:rPr>
        <w:t>.</w:t>
      </w:r>
    </w:p>
    <w:p w14:paraId="14CE6D0A" w14:textId="5B157C97" w:rsidR="0057039A" w:rsidRPr="0057039A" w:rsidRDefault="00632AF9" w:rsidP="0057039A">
      <w:pPr>
        <w:pStyle w:val="COLNumbered"/>
        <w:rPr>
          <w:rFonts w:eastAsiaTheme="minorEastAsia"/>
        </w:rPr>
      </w:pPr>
      <w:r>
        <w:t>T</w:t>
      </w:r>
      <w:r w:rsidR="0057039A" w:rsidRPr="0057039A">
        <w:t xml:space="preserve">he Commission </w:t>
      </w:r>
      <w:r>
        <w:t>must</w:t>
      </w:r>
      <w:r w:rsidR="0057039A" w:rsidRPr="0057039A">
        <w:t xml:space="preserve"> approve the transaction unless it finds that the proposed transaction results in a violation of PURA § 39.154</w:t>
      </w:r>
      <w:r w:rsidR="0057039A" w:rsidRPr="0057039A">
        <w:rPr>
          <w:rFonts w:eastAsiaTheme="minorEastAsia"/>
        </w:rPr>
        <w:t>.</w:t>
      </w:r>
    </w:p>
    <w:p w14:paraId="4E39D1CD" w14:textId="1FF33C7B" w:rsidR="0057039A" w:rsidRDefault="00632AF9" w:rsidP="0057039A">
      <w:pPr>
        <w:pStyle w:val="COLNumbered"/>
        <w:rPr>
          <w:rFonts w:eastAsiaTheme="minorEastAsia"/>
        </w:rPr>
      </w:pPr>
      <w:r>
        <w:t>A</w:t>
      </w:r>
      <w:r w:rsidR="0057039A" w:rsidRPr="0057039A">
        <w:t xml:space="preserve"> power generation company may not own and control more than 20</w:t>
      </w:r>
      <w:r w:rsidR="00BC675B">
        <w:t xml:space="preserve">% </w:t>
      </w:r>
      <w:r w:rsidR="0057039A" w:rsidRPr="0057039A">
        <w:t>of the installed generation capacity located in or capable of deliverin</w:t>
      </w:r>
      <w:r>
        <w:t>g electricity to a power region under PURA § 39.154</w:t>
      </w:r>
      <w:r w:rsidR="0057039A" w:rsidRPr="0057039A">
        <w:rPr>
          <w:rFonts w:eastAsiaTheme="minorEastAsia"/>
        </w:rPr>
        <w:t>.</w:t>
      </w:r>
    </w:p>
    <w:p w14:paraId="109CE9A4" w14:textId="0B0D02BD" w:rsidR="00632AF9" w:rsidRPr="0057039A" w:rsidRDefault="00632AF9" w:rsidP="0057039A">
      <w:pPr>
        <w:pStyle w:val="COLNumbered"/>
        <w:rPr>
          <w:rFonts w:eastAsiaTheme="minorEastAsia"/>
        </w:rPr>
      </w:pPr>
      <w:r>
        <w:t>The relevant power region for purposes of this analysis is</w:t>
      </w:r>
      <w:r w:rsidR="00903CD0">
        <w:t xml:space="preserve"> the</w:t>
      </w:r>
      <w:r>
        <w:t xml:space="preserve"> </w:t>
      </w:r>
      <w:r w:rsidR="002B0614">
        <w:t>SPP</w:t>
      </w:r>
      <w:r>
        <w:t>.</w:t>
      </w:r>
    </w:p>
    <w:p w14:paraId="1B329604" w14:textId="17FA30DF" w:rsidR="0057039A" w:rsidRPr="0057039A" w:rsidRDefault="0057039A" w:rsidP="0057039A">
      <w:pPr>
        <w:pStyle w:val="COLNumbered"/>
        <w:rPr>
          <w:rFonts w:eastAsiaTheme="minorEastAsia"/>
        </w:rPr>
      </w:pPr>
      <w:r w:rsidRPr="0057039A">
        <w:t xml:space="preserve">In determining the percentage share of installed generation capacity, the installed generation capacity owned and controlled by a power generation company must be increased by the transmission import capability that is available for importing electricity </w:t>
      </w:r>
      <w:r w:rsidRPr="0057039A">
        <w:lastRenderedPageBreak/>
        <w:t xml:space="preserve">during the summer peak season into the power region from </w:t>
      </w:r>
      <w:r w:rsidR="00632AF9">
        <w:t>generation</w:t>
      </w:r>
      <w:r w:rsidRPr="0057039A">
        <w:t xml:space="preserve"> facilities that are owned by the power generation company or an affiliate in another power region.</w:t>
      </w:r>
    </w:p>
    <w:p w14:paraId="7EB1EA8C" w14:textId="04AB4A6E" w:rsidR="0057039A" w:rsidRPr="0057039A" w:rsidRDefault="00C70148" w:rsidP="0057039A">
      <w:pPr>
        <w:pStyle w:val="COLNumbered"/>
      </w:pPr>
      <w:r>
        <w:t>T</w:t>
      </w:r>
      <w:r w:rsidR="0057039A" w:rsidRPr="0057039A">
        <w:t xml:space="preserve">he proposed </w:t>
      </w:r>
      <w:r w:rsidR="00632AF9">
        <w:t>transaction</w:t>
      </w:r>
      <w:r w:rsidR="0057039A" w:rsidRPr="0057039A">
        <w:t xml:space="preserve"> will not result in </w:t>
      </w:r>
      <w:r w:rsidR="00632AF9">
        <w:rPr>
          <w:rFonts w:eastAsiaTheme="minorEastAsia"/>
        </w:rPr>
        <w:t>the combined ownership</w:t>
      </w:r>
      <w:r w:rsidR="0057039A" w:rsidRPr="0057039A">
        <w:t xml:space="preserve"> and </w:t>
      </w:r>
      <w:r w:rsidR="00632AF9">
        <w:t>control of</w:t>
      </w:r>
      <w:r w:rsidR="0057039A" w:rsidRPr="0057039A">
        <w:t xml:space="preserve"> more than 20</w:t>
      </w:r>
      <w:r w:rsidR="00BC675B">
        <w:t>%</w:t>
      </w:r>
      <w:r w:rsidR="0057039A" w:rsidRPr="0057039A">
        <w:t xml:space="preserve"> of the installed generation capacity located in or capable of delivering electricity to </w:t>
      </w:r>
      <w:r w:rsidR="00903CD0">
        <w:t xml:space="preserve">the </w:t>
      </w:r>
      <w:r w:rsidR="002B0614">
        <w:t>SPP</w:t>
      </w:r>
      <w:r w:rsidR="0057039A" w:rsidRPr="0057039A">
        <w:t xml:space="preserve">, </w:t>
      </w:r>
      <w:r w:rsidR="00BA57B6">
        <w:t>under</w:t>
      </w:r>
      <w:r w:rsidR="0057039A" w:rsidRPr="0057039A">
        <w:t xml:space="preserve"> PURA § 39.154</w:t>
      </w:r>
      <w:r w:rsidR="0057039A" w:rsidRPr="0057039A">
        <w:rPr>
          <w:rFonts w:eastAsiaTheme="minorEastAsia"/>
        </w:rPr>
        <w:t>.</w:t>
      </w:r>
    </w:p>
    <w:p w14:paraId="0A7FE790" w14:textId="2340D7B9" w:rsidR="0057039A" w:rsidRPr="0057039A" w:rsidRDefault="00EE2B57" w:rsidP="0057039A">
      <w:pPr>
        <w:pStyle w:val="COLNumbered"/>
      </w:pPr>
      <w:r>
        <w:rPr>
          <w:rFonts w:eastAsiaTheme="minorEastAsia"/>
        </w:rPr>
        <w:t>The proposed closing date complies with the 120-day requirement in PURA § 39.158.</w:t>
      </w:r>
    </w:p>
    <w:p w14:paraId="67E32599" w14:textId="03B658A2" w:rsidR="0057039A" w:rsidRPr="0057039A" w:rsidRDefault="00632AF9" w:rsidP="0057039A">
      <w:pPr>
        <w:pStyle w:val="COLNumbered"/>
        <w:rPr>
          <w:rFonts w:eastAsiaTheme="minorEastAsia"/>
        </w:rPr>
      </w:pPr>
      <w:r>
        <w:t>This</w:t>
      </w:r>
      <w:r w:rsidR="0057039A" w:rsidRPr="0057039A">
        <w:t xml:space="preserve"> application does not constitute a major rate proceeding as defined in 16 TAC § 22.2(27)</w:t>
      </w:r>
      <w:r w:rsidR="0057039A" w:rsidRPr="0057039A">
        <w:rPr>
          <w:rFonts w:eastAsiaTheme="minorEastAsia"/>
        </w:rPr>
        <w:t>.</w:t>
      </w:r>
    </w:p>
    <w:p w14:paraId="60FA925C" w14:textId="0861D3E1" w:rsidR="00EE605E" w:rsidRPr="00EE5DDA" w:rsidRDefault="0057039A" w:rsidP="002B0614">
      <w:pPr>
        <w:pStyle w:val="COLNumbered"/>
      </w:pPr>
      <w:r w:rsidRPr="0057039A">
        <w:t xml:space="preserve">The requirements for informal disposition </w:t>
      </w:r>
      <w:r w:rsidR="003E5F0C">
        <w:t>in</w:t>
      </w:r>
      <w:r w:rsidRPr="0057039A">
        <w:t xml:space="preserve"> 16 TAC § 22.35 have been met in this proceeding</w:t>
      </w:r>
      <w:r>
        <w:t>.</w:t>
      </w:r>
    </w:p>
    <w:p w14:paraId="2A03C2B8" w14:textId="77777777" w:rsidR="00EE5DDA" w:rsidRDefault="00EE5DDA" w:rsidP="00EE5DDA">
      <w:pPr>
        <w:pStyle w:val="Heading1"/>
      </w:pPr>
      <w:r>
        <w:t>Ordering Paragraphs</w:t>
      </w:r>
    </w:p>
    <w:p w14:paraId="6D51E5DB" w14:textId="77777777"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14:paraId="79EBFAAA" w14:textId="10A7CE9D" w:rsidR="00A035EA" w:rsidRDefault="0057039A" w:rsidP="0057039A">
      <w:pPr>
        <w:pStyle w:val="OrderingParagraph"/>
      </w:pPr>
      <w:r w:rsidRPr="0057039A">
        <w:t xml:space="preserve">The </w:t>
      </w:r>
      <w:r w:rsidR="002B0614">
        <w:t>Commission approves the application</w:t>
      </w:r>
      <w:r w:rsidRPr="0057039A">
        <w:t>.</w:t>
      </w:r>
    </w:p>
    <w:p w14:paraId="108B62B5" w14:textId="0E43007F" w:rsidR="00A03130" w:rsidRDefault="0057039A" w:rsidP="002B0614">
      <w:pPr>
        <w:pStyle w:val="OrderingParagraph"/>
      </w:pPr>
      <w:r w:rsidRPr="0057039A">
        <w:t>All other motions and any other requests for general or specific relief, if not expressly granted, are denied.</w:t>
      </w:r>
    </w:p>
    <w:p w14:paraId="3B76CC79" w14:textId="77777777" w:rsidR="00A03130" w:rsidRDefault="00A03130">
      <w:pPr>
        <w:spacing w:after="160" w:line="259" w:lineRule="auto"/>
        <w:rPr>
          <w:rFonts w:eastAsia="Times New Roman"/>
          <w:snapToGrid w:val="0"/>
          <w:szCs w:val="20"/>
        </w:rPr>
      </w:pPr>
      <w:r>
        <w:br w:type="page"/>
      </w:r>
    </w:p>
    <w:p w14:paraId="00B0809F" w14:textId="77777777" w:rsidR="003E5F0C" w:rsidRDefault="003E5F0C" w:rsidP="00A03130">
      <w:pPr>
        <w:pStyle w:val="OrderingParagraph"/>
        <w:numPr>
          <w:ilvl w:val="0"/>
          <w:numId w:val="0"/>
        </w:numPr>
        <w:ind w:left="720" w:hanging="720"/>
      </w:pPr>
    </w:p>
    <w:p w14:paraId="772CF25E" w14:textId="77777777" w:rsidR="00C70148" w:rsidRDefault="00C70148" w:rsidP="007D2BCF">
      <w:pPr>
        <w:spacing w:line="259" w:lineRule="auto"/>
      </w:pPr>
    </w:p>
    <w:p w14:paraId="0EC21559" w14:textId="3E344AF8" w:rsidR="00160DCD" w:rsidRPr="00C70148" w:rsidRDefault="00160DCD" w:rsidP="007D2BCF">
      <w:pPr>
        <w:spacing w:after="120" w:line="259" w:lineRule="auto"/>
        <w:ind w:firstLine="720"/>
        <w:rPr>
          <w:b/>
        </w:rPr>
      </w:pPr>
      <w:r w:rsidRPr="00C70148">
        <w:rPr>
          <w:b/>
        </w:rPr>
        <w:t xml:space="preserve">Signed at Austin, Texas the ______ day of </w:t>
      </w:r>
      <w:r w:rsidR="002B0614" w:rsidRPr="00C70148">
        <w:rPr>
          <w:b/>
        </w:rPr>
        <w:t>June</w:t>
      </w:r>
      <w:r w:rsidR="0051631F" w:rsidRPr="00C70148">
        <w:rPr>
          <w:b/>
        </w:rPr>
        <w:t xml:space="preserve"> 2018</w:t>
      </w:r>
      <w:r w:rsidR="008D1724" w:rsidRPr="00C70148">
        <w:rPr>
          <w:b/>
        </w:rPr>
        <w:t>.</w:t>
      </w:r>
    </w:p>
    <w:p w14:paraId="5F7B0F19" w14:textId="77777777" w:rsidR="008D1724" w:rsidRDefault="008D1724" w:rsidP="007D2BCF">
      <w:pPr>
        <w:pStyle w:val="Dateline"/>
        <w:ind w:left="0"/>
      </w:pPr>
    </w:p>
    <w:p w14:paraId="0EFF1717" w14:textId="77777777" w:rsidR="00160DCD" w:rsidRDefault="00160DCD" w:rsidP="00160DCD">
      <w:pPr>
        <w:pStyle w:val="Signatures"/>
      </w:pPr>
      <w:r>
        <w:t>PUBLIC UTILITY COMMISSION OF TEXAS</w:t>
      </w:r>
    </w:p>
    <w:p w14:paraId="17F1C6E2" w14:textId="77777777" w:rsidR="00160DCD" w:rsidRDefault="00160DCD" w:rsidP="00A03130">
      <w:pPr>
        <w:pStyle w:val="Signatures"/>
        <w:ind w:left="0"/>
      </w:pPr>
    </w:p>
    <w:p w14:paraId="31678593" w14:textId="77777777" w:rsidR="00160DCD" w:rsidRDefault="00160DCD" w:rsidP="00A03130">
      <w:pPr>
        <w:pStyle w:val="Signatures"/>
        <w:ind w:left="0"/>
      </w:pPr>
    </w:p>
    <w:p w14:paraId="2B3C47D4" w14:textId="77777777" w:rsidR="00A03130" w:rsidRDefault="00A03130" w:rsidP="00A03130">
      <w:pPr>
        <w:pStyle w:val="Signatures"/>
        <w:ind w:left="0"/>
      </w:pPr>
    </w:p>
    <w:p w14:paraId="6B7C1817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12B51355" w14:textId="77777777"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14:paraId="7FAEB2F9" w14:textId="57DEE063" w:rsidR="00160DCD" w:rsidRDefault="00160DCD" w:rsidP="002B0614">
      <w:pPr>
        <w:pStyle w:val="Signatures"/>
        <w:ind w:left="0"/>
      </w:pPr>
    </w:p>
    <w:p w14:paraId="6C14F9E8" w14:textId="77777777" w:rsidR="00160DCD" w:rsidRDefault="00160DCD" w:rsidP="00160DCD">
      <w:pPr>
        <w:pStyle w:val="Signatures"/>
      </w:pPr>
    </w:p>
    <w:p w14:paraId="7BC4386E" w14:textId="77777777" w:rsidR="00160DCD" w:rsidRDefault="00160DCD" w:rsidP="00160DCD">
      <w:pPr>
        <w:pStyle w:val="Signatures"/>
      </w:pPr>
    </w:p>
    <w:p w14:paraId="31B5DD9B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290350B6" w14:textId="77777777" w:rsidR="00160DCD" w:rsidRDefault="00DC3E65" w:rsidP="008D6EBD">
      <w:pPr>
        <w:pStyle w:val="Signatures"/>
        <w:spacing w:after="120"/>
      </w:pPr>
      <w:r>
        <w:t>ARTHUR C. D’ANDREA</w:t>
      </w:r>
      <w:r w:rsidR="00160DCD">
        <w:t>, COMMISSIONER</w:t>
      </w:r>
    </w:p>
    <w:p w14:paraId="32AADCDF" w14:textId="77777777" w:rsidR="008D6EBD" w:rsidRDefault="008D6EBD" w:rsidP="008D6EBD">
      <w:pPr>
        <w:pStyle w:val="Signatures"/>
      </w:pPr>
    </w:p>
    <w:p w14:paraId="51C1DFEF" w14:textId="77777777" w:rsidR="008D6EBD" w:rsidRDefault="008D6EBD" w:rsidP="008D6EBD">
      <w:pPr>
        <w:pStyle w:val="Signatures"/>
      </w:pPr>
    </w:p>
    <w:p w14:paraId="67E6810A" w14:textId="77777777" w:rsidR="008D6EBD" w:rsidRDefault="008D6EBD" w:rsidP="008D6EBD">
      <w:pPr>
        <w:pStyle w:val="Signatures"/>
      </w:pPr>
      <w:r w:rsidRPr="00160DCD">
        <w:t>______________________________________________</w:t>
      </w:r>
    </w:p>
    <w:p w14:paraId="10F15319" w14:textId="0BEB023F" w:rsidR="008D6EBD" w:rsidRDefault="008D6EBD" w:rsidP="008D6EBD">
      <w:pPr>
        <w:pStyle w:val="Signatures"/>
      </w:pPr>
      <w:r>
        <w:t>SHELLY BOTKIN, COMMISSIONER</w:t>
      </w:r>
    </w:p>
    <w:p w14:paraId="7F3C21F1" w14:textId="77777777" w:rsidR="00160DCD" w:rsidRDefault="00160DCD" w:rsidP="00160DCD"/>
    <w:p w14:paraId="40EF13DC" w14:textId="77777777" w:rsidR="00160DCD" w:rsidRDefault="00160DCD" w:rsidP="00160DCD"/>
    <w:p w14:paraId="5EE21D71" w14:textId="77777777" w:rsidR="007D2BCF" w:rsidRDefault="007D2BCF" w:rsidP="00160DCD"/>
    <w:p w14:paraId="3FAC209B" w14:textId="77777777" w:rsidR="00160DCD" w:rsidRPr="002B0614" w:rsidRDefault="00245343" w:rsidP="0062202F">
      <w:pPr>
        <w:pStyle w:val="EndMatter"/>
        <w:rPr>
          <w:sz w:val="18"/>
        </w:rPr>
      </w:pPr>
      <w:r w:rsidRPr="002B0614">
        <w:rPr>
          <w:sz w:val="18"/>
        </w:rPr>
        <w:fldChar w:fldCharType="begin"/>
      </w:r>
      <w:r w:rsidRPr="002B0614">
        <w:rPr>
          <w:sz w:val="18"/>
        </w:rPr>
        <w:instrText xml:space="preserve"> FILENAME  \* Lower \p  \* MERGEFORMAT </w:instrText>
      </w:r>
      <w:r w:rsidRPr="002B0614">
        <w:rPr>
          <w:sz w:val="18"/>
        </w:rPr>
        <w:fldChar w:fldCharType="separate"/>
      </w:r>
      <w:r w:rsidR="00A03130">
        <w:rPr>
          <w:noProof/>
          <w:sz w:val="18"/>
        </w:rPr>
        <w:t>q:\cadm\orders\final\48000\48139 fo.docx</w:t>
      </w:r>
      <w:r w:rsidRPr="002B0614">
        <w:rPr>
          <w:noProof/>
          <w:sz w:val="18"/>
        </w:rPr>
        <w:fldChar w:fldCharType="end"/>
      </w:r>
    </w:p>
    <w:sectPr w:rsidR="00160DCD" w:rsidRPr="002B061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1D932" w14:textId="77777777" w:rsidR="00456654" w:rsidRDefault="00456654" w:rsidP="00D03394">
      <w:r>
        <w:separator/>
      </w:r>
    </w:p>
  </w:endnote>
  <w:endnote w:type="continuationSeparator" w:id="0">
    <w:p w14:paraId="64FE0777" w14:textId="77777777" w:rsidR="00456654" w:rsidRDefault="0045665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6516A" w14:textId="77777777" w:rsidR="00456654" w:rsidRDefault="00456654" w:rsidP="00D03394">
      <w:r>
        <w:separator/>
      </w:r>
    </w:p>
  </w:footnote>
  <w:footnote w:type="continuationSeparator" w:id="0">
    <w:p w14:paraId="29263586" w14:textId="77777777" w:rsidR="00456654" w:rsidRDefault="0045665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5A80D" w14:textId="653C395D" w:rsidR="00ED04FC" w:rsidRDefault="00ED04FC">
    <w:pPr>
      <w:pStyle w:val="Header"/>
    </w:pPr>
    <w:r>
      <w:t>Docket No. </w:t>
    </w:r>
    <w:r w:rsidR="00C74C28">
      <w:t>48139</w:t>
    </w:r>
    <w:r>
      <w:tab/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C4BD4">
      <w:rPr>
        <w:noProof/>
      </w:rPr>
      <w:t>4</w:t>
    </w:r>
    <w:r>
      <w:fldChar w:fldCharType="end"/>
    </w:r>
    <w:r>
      <w:t xml:space="preserve"> of </w:t>
    </w:r>
    <w:fldSimple w:instr=" NUMPAGES   \* MERGEFORMAT ">
      <w:r w:rsidR="004C4BD4">
        <w:rPr>
          <w:noProof/>
        </w:rPr>
        <w:t>5</w:t>
      </w:r>
    </w:fldSimple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54"/>
    <w:rsid w:val="000E1A34"/>
    <w:rsid w:val="000E5DBE"/>
    <w:rsid w:val="0010060B"/>
    <w:rsid w:val="001169CA"/>
    <w:rsid w:val="00160DCD"/>
    <w:rsid w:val="00165F2E"/>
    <w:rsid w:val="00185472"/>
    <w:rsid w:val="001B435D"/>
    <w:rsid w:val="001D4F4B"/>
    <w:rsid w:val="001E360C"/>
    <w:rsid w:val="001E579D"/>
    <w:rsid w:val="001F2570"/>
    <w:rsid w:val="002003F5"/>
    <w:rsid w:val="00217B20"/>
    <w:rsid w:val="00245343"/>
    <w:rsid w:val="00266F9F"/>
    <w:rsid w:val="002B0614"/>
    <w:rsid w:val="002E63DF"/>
    <w:rsid w:val="00312838"/>
    <w:rsid w:val="00316C6A"/>
    <w:rsid w:val="003729E5"/>
    <w:rsid w:val="00393011"/>
    <w:rsid w:val="00395709"/>
    <w:rsid w:val="003A4E07"/>
    <w:rsid w:val="003B7BE7"/>
    <w:rsid w:val="003E5F0C"/>
    <w:rsid w:val="00433B5E"/>
    <w:rsid w:val="00443D41"/>
    <w:rsid w:val="00447C81"/>
    <w:rsid w:val="00447EA4"/>
    <w:rsid w:val="00456654"/>
    <w:rsid w:val="00482EF0"/>
    <w:rsid w:val="004A4B22"/>
    <w:rsid w:val="004C4BD4"/>
    <w:rsid w:val="004E082A"/>
    <w:rsid w:val="004E117B"/>
    <w:rsid w:val="0051631F"/>
    <w:rsid w:val="00543A7E"/>
    <w:rsid w:val="00560101"/>
    <w:rsid w:val="0057039A"/>
    <w:rsid w:val="005C3512"/>
    <w:rsid w:val="005F2239"/>
    <w:rsid w:val="0062202F"/>
    <w:rsid w:val="00632AF9"/>
    <w:rsid w:val="00677B5E"/>
    <w:rsid w:val="00677FCD"/>
    <w:rsid w:val="007243CB"/>
    <w:rsid w:val="007406C1"/>
    <w:rsid w:val="007572FC"/>
    <w:rsid w:val="007D2BCF"/>
    <w:rsid w:val="007E0122"/>
    <w:rsid w:val="007F39B2"/>
    <w:rsid w:val="0080046C"/>
    <w:rsid w:val="00824EFE"/>
    <w:rsid w:val="008738BF"/>
    <w:rsid w:val="008A36ED"/>
    <w:rsid w:val="008B7C2E"/>
    <w:rsid w:val="008C6516"/>
    <w:rsid w:val="008D1724"/>
    <w:rsid w:val="008D6EBD"/>
    <w:rsid w:val="00903CD0"/>
    <w:rsid w:val="009727E0"/>
    <w:rsid w:val="009C1919"/>
    <w:rsid w:val="009D567A"/>
    <w:rsid w:val="00A03130"/>
    <w:rsid w:val="00A035EA"/>
    <w:rsid w:val="00A27DBD"/>
    <w:rsid w:val="00A40798"/>
    <w:rsid w:val="00A42EEC"/>
    <w:rsid w:val="00AF2AE3"/>
    <w:rsid w:val="00B016C1"/>
    <w:rsid w:val="00B22348"/>
    <w:rsid w:val="00B51CA8"/>
    <w:rsid w:val="00B613B2"/>
    <w:rsid w:val="00B70C51"/>
    <w:rsid w:val="00B71CA8"/>
    <w:rsid w:val="00BA57B6"/>
    <w:rsid w:val="00BC675B"/>
    <w:rsid w:val="00C474CF"/>
    <w:rsid w:val="00C54659"/>
    <w:rsid w:val="00C70148"/>
    <w:rsid w:val="00C74C28"/>
    <w:rsid w:val="00D03394"/>
    <w:rsid w:val="00D1503F"/>
    <w:rsid w:val="00D21FB9"/>
    <w:rsid w:val="00D451DC"/>
    <w:rsid w:val="00D706B4"/>
    <w:rsid w:val="00D7618C"/>
    <w:rsid w:val="00D86341"/>
    <w:rsid w:val="00DA3131"/>
    <w:rsid w:val="00DB06D4"/>
    <w:rsid w:val="00DB3A0D"/>
    <w:rsid w:val="00DC3E65"/>
    <w:rsid w:val="00DD25A2"/>
    <w:rsid w:val="00E444C7"/>
    <w:rsid w:val="00EB3FB6"/>
    <w:rsid w:val="00EB7000"/>
    <w:rsid w:val="00ED04FC"/>
    <w:rsid w:val="00EE2B57"/>
    <w:rsid w:val="00EE5DDA"/>
    <w:rsid w:val="00EE605E"/>
    <w:rsid w:val="00F348EE"/>
    <w:rsid w:val="00FA1E83"/>
    <w:rsid w:val="00FB2198"/>
    <w:rsid w:val="00FD588B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5E519E17"/>
  <w15:chartTrackingRefBased/>
  <w15:docId w15:val="{E7E86636-029A-429E-ACC5-B1E35BD2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CommentReference">
    <w:name w:val="annotation reference"/>
    <w:basedOn w:val="DefaultParagraphFont"/>
    <w:uiPriority w:val="99"/>
    <w:semiHidden/>
    <w:unhideWhenUsed/>
    <w:rsid w:val="005703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3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039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4FE25-E1F1-42E9-B884-51D85C3B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</Template>
  <TotalTime>269</TotalTime>
  <Pages>5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Lisa</dc:creator>
  <cp:keywords/>
  <dc:description/>
  <cp:lastModifiedBy>Hicks, Ruby</cp:lastModifiedBy>
  <cp:revision>27</cp:revision>
  <cp:lastPrinted>2018-06-28T20:07:00Z</cp:lastPrinted>
  <dcterms:created xsi:type="dcterms:W3CDTF">2018-05-07T20:35:00Z</dcterms:created>
  <dcterms:modified xsi:type="dcterms:W3CDTF">2018-06-28T20:20:00Z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